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申请延续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eastAsia="zh-CN"/>
        </w:rPr>
        <w:t>或晋升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一级资质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eastAsia="zh-CN"/>
        </w:rPr>
        <w:t>复审未通过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val="en-US" w:eastAsia="zh-CN"/>
        </w:rPr>
        <w:t>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房地产开发企业名单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山西星河房地产开发有限公司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上海象屿置业有限公司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丽水汇鑫房地产开发集团有限公司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合肥安之联置业有限公司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754C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2024-05-13T02:14:25Z</dcterms:created>
  <dc:creator>yanglinyi</dc:creator>
  <cp:lastModifiedBy>tinykerman</cp:lastModifiedBy>
  <dcterms:modified xsi:type="dcterms:W3CDTF">2024-05-13T02:14:26Z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6D67CB91A9454B3682C66F128915EA76_12</vt:lpwstr>
  </property>
</Properties>
</file>